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62"/>
        <w:gridCol w:w="5812"/>
      </w:tblGrid>
      <w:tr w:rsidR="00472257" w:rsidRPr="00E8207F" w:rsidTr="001E3C50">
        <w:trPr>
          <w:trHeight w:val="1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2257" w:rsidRPr="001E3C50" w:rsidRDefault="00472257" w:rsidP="003C6C3C">
            <w:pPr>
              <w:keepNext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26"/>
                <w:szCs w:val="24"/>
              </w:rPr>
            </w:pPr>
            <w:bookmarkStart w:id="0" w:name="_GoBack"/>
            <w:bookmarkEnd w:id="0"/>
            <w:r w:rsidRPr="001E3C50">
              <w:rPr>
                <w:b/>
                <w:bCs/>
                <w:sz w:val="26"/>
                <w:szCs w:val="24"/>
              </w:rPr>
              <w:t>VIỆN KIỂM SÁT NHÂN DÂN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2257" w:rsidRPr="00313368" w:rsidRDefault="00472257" w:rsidP="003C6C3C">
            <w:pPr>
              <w:keepNext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3C50">
              <w:rPr>
                <w:b/>
                <w:bCs/>
                <w:sz w:val="26"/>
                <w:szCs w:val="24"/>
              </w:rPr>
              <w:t>CỘNG HÒA XÃ HỘI CHỦ NGHĨA VIỆT NAM</w:t>
            </w:r>
          </w:p>
        </w:tc>
      </w:tr>
      <w:tr w:rsidR="00472257" w:rsidRPr="00E8207F" w:rsidTr="001E3C50">
        <w:trPr>
          <w:trHeight w:val="1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2257" w:rsidRPr="001E3C50" w:rsidRDefault="001B7D8D" w:rsidP="003C6C3C">
            <w:pPr>
              <w:keepNext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199390</wp:posOffset>
                      </wp:positionV>
                      <wp:extent cx="566420" cy="13970"/>
                      <wp:effectExtent l="5715" t="8890" r="8890" b="571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6420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6.45pt;margin-top:15.7pt;width:44.6pt;height:1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BFKQIAAEg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"/>
                  </w:pict>
                </mc:Fallback>
              </mc:AlternateContent>
            </w:r>
            <w:r w:rsidR="00472257" w:rsidRPr="001E3C50">
              <w:rPr>
                <w:b/>
                <w:bCs/>
                <w:sz w:val="26"/>
                <w:szCs w:val="24"/>
              </w:rPr>
              <w:t>TỐI CAO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2257" w:rsidRPr="001B3B80" w:rsidRDefault="00472257" w:rsidP="003C6C3C">
            <w:pPr>
              <w:keepNext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</w:rPr>
            </w:pPr>
            <w:r w:rsidRPr="001B3B80">
              <w:rPr>
                <w:b/>
                <w:bCs/>
              </w:rPr>
              <w:t>Độc lập - Tự do - Hạnh phúc</w:t>
            </w:r>
          </w:p>
          <w:p w:rsidR="001B3B80" w:rsidRPr="00EE3B36" w:rsidRDefault="001B7D8D" w:rsidP="003C6C3C">
            <w:pPr>
              <w:keepNext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41910</wp:posOffset>
                      </wp:positionV>
                      <wp:extent cx="1955800" cy="0"/>
                      <wp:effectExtent l="13335" t="13335" r="12065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7.05pt;margin-top:3.3pt;width:15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Q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liOp2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1B3B80" w:rsidRPr="00E8207F" w:rsidTr="001E3C50">
        <w:trPr>
          <w:trHeight w:val="91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B3B80" w:rsidRPr="00E8207F" w:rsidRDefault="001B3B80" w:rsidP="00AB7AE6">
            <w:pPr>
              <w:keepNext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3B80">
              <w:rPr>
                <w:sz w:val="24"/>
                <w:szCs w:val="26"/>
              </w:rPr>
              <w:t>Số</w:t>
            </w:r>
            <w:r w:rsidR="00AB7AE6">
              <w:rPr>
                <w:sz w:val="26"/>
              </w:rPr>
              <w:t>: 204</w:t>
            </w:r>
            <w:r w:rsidRPr="001B3B80">
              <w:rPr>
                <w:sz w:val="24"/>
                <w:szCs w:val="26"/>
              </w:rPr>
              <w:t>/QĐ-VKSTC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B3B80" w:rsidRPr="00E8207F" w:rsidRDefault="00AB7AE6" w:rsidP="00AB7AE6">
            <w:pPr>
              <w:keepNext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  <w:iCs/>
              </w:rPr>
              <w:t>Hà Nội, ngày 01</w:t>
            </w:r>
            <w:r w:rsidR="005371C6">
              <w:rPr>
                <w:i/>
                <w:iCs/>
              </w:rPr>
              <w:t xml:space="preserve"> </w:t>
            </w:r>
            <w:r w:rsidR="001B3B80">
              <w:rPr>
                <w:i/>
                <w:iCs/>
              </w:rPr>
              <w:t xml:space="preserve">tháng </w:t>
            </w:r>
            <w:r>
              <w:rPr>
                <w:i/>
                <w:iCs/>
              </w:rPr>
              <w:t>6</w:t>
            </w:r>
            <w:r w:rsidR="001B3B80">
              <w:rPr>
                <w:i/>
                <w:iCs/>
              </w:rPr>
              <w:t xml:space="preserve"> năm 201</w:t>
            </w:r>
            <w:r w:rsidR="00BE59AD">
              <w:rPr>
                <w:i/>
                <w:iCs/>
              </w:rPr>
              <w:t>7</w:t>
            </w:r>
          </w:p>
        </w:tc>
      </w:tr>
    </w:tbl>
    <w:p w:rsidR="00472257" w:rsidRPr="00E8207F" w:rsidRDefault="00472257" w:rsidP="003C6C3C">
      <w:pPr>
        <w:autoSpaceDE w:val="0"/>
        <w:autoSpaceDN w:val="0"/>
        <w:adjustRightInd w:val="0"/>
        <w:jc w:val="center"/>
        <w:rPr>
          <w:b/>
          <w:bCs/>
        </w:rPr>
      </w:pPr>
    </w:p>
    <w:p w:rsidR="007F6197" w:rsidRDefault="007F6197" w:rsidP="003C6C3C">
      <w:pPr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472257" w:rsidRPr="001E3C50" w:rsidRDefault="00472257" w:rsidP="003C6C3C">
      <w:pPr>
        <w:autoSpaceDE w:val="0"/>
        <w:autoSpaceDN w:val="0"/>
        <w:adjustRightInd w:val="0"/>
        <w:jc w:val="center"/>
        <w:rPr>
          <w:b/>
          <w:bCs/>
        </w:rPr>
      </w:pPr>
      <w:r w:rsidRPr="001E3C50">
        <w:rPr>
          <w:b/>
          <w:bCs/>
        </w:rPr>
        <w:t>QUYẾT ĐỊNH</w:t>
      </w:r>
    </w:p>
    <w:p w:rsidR="00472257" w:rsidRDefault="00472257" w:rsidP="001B3B80">
      <w:pPr>
        <w:autoSpaceDE w:val="0"/>
        <w:autoSpaceDN w:val="0"/>
        <w:adjustRightInd w:val="0"/>
        <w:spacing w:before="0"/>
        <w:jc w:val="center"/>
        <w:rPr>
          <w:b/>
          <w:bCs/>
        </w:rPr>
      </w:pPr>
      <w:r>
        <w:rPr>
          <w:b/>
          <w:bCs/>
        </w:rPr>
        <w:t>Về việc ban hành mẫu văn bản tố tụng</w:t>
      </w:r>
      <w:r w:rsidR="002B06AE">
        <w:rPr>
          <w:b/>
          <w:bCs/>
        </w:rPr>
        <w:t>, nghiệp vụ</w:t>
      </w:r>
      <w:r>
        <w:rPr>
          <w:b/>
          <w:bCs/>
        </w:rPr>
        <w:t xml:space="preserve"> tạm thời </w:t>
      </w:r>
    </w:p>
    <w:p w:rsidR="00472257" w:rsidRPr="00E8207F" w:rsidRDefault="00472257" w:rsidP="001B3B80">
      <w:pPr>
        <w:autoSpaceDE w:val="0"/>
        <w:autoSpaceDN w:val="0"/>
        <w:adjustRightInd w:val="0"/>
        <w:spacing w:before="0"/>
        <w:jc w:val="center"/>
        <w:rPr>
          <w:b/>
          <w:bCs/>
        </w:rPr>
      </w:pPr>
      <w:r>
        <w:rPr>
          <w:b/>
          <w:bCs/>
        </w:rPr>
        <w:t xml:space="preserve">trong </w:t>
      </w:r>
      <w:r w:rsidR="0071584F">
        <w:rPr>
          <w:b/>
          <w:bCs/>
        </w:rPr>
        <w:t>lĩnh vực kiểm sát hoạt động tư pháp</w:t>
      </w:r>
    </w:p>
    <w:p w:rsidR="00472257" w:rsidRPr="00472257" w:rsidRDefault="001B7D8D" w:rsidP="003C6C3C">
      <w:pPr>
        <w:autoSpaceDE w:val="0"/>
        <w:autoSpaceDN w:val="0"/>
        <w:adjustRightInd w:val="0"/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68580</wp:posOffset>
                </wp:positionV>
                <wp:extent cx="1849120" cy="13970"/>
                <wp:effectExtent l="7620" t="11430" r="1016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912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6.85pt;margin-top:5.4pt;width:145.6pt;height:1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"/>
            </w:pict>
          </mc:Fallback>
        </mc:AlternateContent>
      </w:r>
    </w:p>
    <w:p w:rsidR="007F6197" w:rsidRDefault="007F6197" w:rsidP="001B3B80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sz w:val="26"/>
        </w:rPr>
      </w:pPr>
    </w:p>
    <w:p w:rsidR="00472257" w:rsidRPr="001E3C50" w:rsidRDefault="00472257" w:rsidP="001B3B80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</w:rPr>
      </w:pPr>
      <w:r w:rsidRPr="001E3C50">
        <w:rPr>
          <w:b/>
          <w:bCs/>
        </w:rPr>
        <w:t>VIỆN TRƯỞNG VIỆN KIỂM SÁT NHÂN DÂN TỐI CAO</w:t>
      </w:r>
    </w:p>
    <w:p w:rsidR="001B3B80" w:rsidRDefault="001B3B80" w:rsidP="001B3B80">
      <w:pPr>
        <w:autoSpaceDE w:val="0"/>
        <w:autoSpaceDN w:val="0"/>
        <w:adjustRightInd w:val="0"/>
        <w:spacing w:before="60" w:after="60"/>
        <w:ind w:firstLine="720"/>
      </w:pPr>
    </w:p>
    <w:p w:rsidR="00472257" w:rsidRPr="00E8207F" w:rsidRDefault="00472257" w:rsidP="001B3B80">
      <w:pPr>
        <w:autoSpaceDE w:val="0"/>
        <w:autoSpaceDN w:val="0"/>
        <w:adjustRightInd w:val="0"/>
        <w:spacing w:before="60" w:after="60"/>
        <w:ind w:firstLine="720"/>
      </w:pPr>
      <w:r w:rsidRPr="00E8207F">
        <w:t>Căn cứ Luật tổ chức Viện kiểm sát nhân dân năm 20</w:t>
      </w:r>
      <w:r w:rsidR="0071584F">
        <w:t>14</w:t>
      </w:r>
      <w:r w:rsidRPr="00E8207F">
        <w:t xml:space="preserve">; </w:t>
      </w:r>
    </w:p>
    <w:p w:rsidR="00472257" w:rsidRDefault="00472257" w:rsidP="001B3B80">
      <w:pPr>
        <w:autoSpaceDE w:val="0"/>
        <w:autoSpaceDN w:val="0"/>
        <w:adjustRightInd w:val="0"/>
        <w:spacing w:before="60" w:after="60"/>
        <w:ind w:firstLine="720"/>
      </w:pPr>
      <w:r>
        <w:t xml:space="preserve">Căn cứ Bộ luật </w:t>
      </w:r>
      <w:r w:rsidR="0060426D">
        <w:t>t</w:t>
      </w:r>
      <w:r>
        <w:t>ố tụng dân sự năm 201</w:t>
      </w:r>
      <w:r w:rsidR="0071584F">
        <w:t>5</w:t>
      </w:r>
      <w:r>
        <w:t xml:space="preserve">; Bộ luật </w:t>
      </w:r>
      <w:r w:rsidR="0060426D">
        <w:t>d</w:t>
      </w:r>
      <w:r>
        <w:t>ân sự năm 20</w:t>
      </w:r>
      <w:r w:rsidR="0071584F">
        <w:t>15</w:t>
      </w:r>
      <w:r>
        <w:t>;</w:t>
      </w:r>
    </w:p>
    <w:p w:rsidR="007F2701" w:rsidRDefault="007F2701" w:rsidP="001B3B80">
      <w:pPr>
        <w:autoSpaceDE w:val="0"/>
        <w:autoSpaceDN w:val="0"/>
        <w:adjustRightInd w:val="0"/>
        <w:spacing w:before="60" w:after="60"/>
        <w:ind w:firstLine="720"/>
      </w:pPr>
      <w:r>
        <w:t>Căn cứ Bộ luật tố tụng hành chính năm 2015;</w:t>
      </w:r>
    </w:p>
    <w:p w:rsidR="007F2701" w:rsidRDefault="000851B5" w:rsidP="001B3B80">
      <w:pPr>
        <w:autoSpaceDE w:val="0"/>
        <w:autoSpaceDN w:val="0"/>
        <w:adjustRightInd w:val="0"/>
        <w:spacing w:before="60" w:after="60"/>
        <w:ind w:firstLine="720"/>
      </w:pPr>
      <w:r>
        <w:t>C</w:t>
      </w:r>
      <w:r w:rsidR="007F2701">
        <w:t xml:space="preserve">ăn cứ </w:t>
      </w:r>
      <w:r>
        <w:t>Luật thi hành án dân sự (sửa đổi) năm 201</w:t>
      </w:r>
      <w:r w:rsidR="00CD22C7">
        <w:t>4</w:t>
      </w:r>
      <w:r>
        <w:t>;</w:t>
      </w:r>
    </w:p>
    <w:p w:rsidR="000851B5" w:rsidRDefault="000851B5" w:rsidP="001B3B80">
      <w:pPr>
        <w:autoSpaceDE w:val="0"/>
        <w:autoSpaceDN w:val="0"/>
        <w:adjustRightInd w:val="0"/>
        <w:spacing w:before="60" w:after="60"/>
        <w:ind w:firstLine="720"/>
      </w:pPr>
      <w:r>
        <w:t>Căn cứ Luật khiếu nại năm 201</w:t>
      </w:r>
      <w:r w:rsidR="0060426D">
        <w:t>1</w:t>
      </w:r>
      <w:r>
        <w:t>;</w:t>
      </w:r>
      <w:r w:rsidR="00286A17">
        <w:t xml:space="preserve"> L</w:t>
      </w:r>
      <w:r w:rsidR="0060426D">
        <w:t>uật tố cáo năm 2011;</w:t>
      </w:r>
    </w:p>
    <w:p w:rsidR="00F0578A" w:rsidRPr="005371C6" w:rsidRDefault="00F0578A" w:rsidP="001B3B80">
      <w:pPr>
        <w:autoSpaceDE w:val="0"/>
        <w:autoSpaceDN w:val="0"/>
        <w:adjustRightInd w:val="0"/>
        <w:spacing w:before="60" w:after="60"/>
        <w:ind w:firstLine="720"/>
        <w:rPr>
          <w:spacing w:val="-10"/>
        </w:rPr>
      </w:pPr>
      <w:r w:rsidRPr="005371C6">
        <w:rPr>
          <w:spacing w:val="-10"/>
        </w:rPr>
        <w:t>Căn cứ Quy định tạm thời</w:t>
      </w:r>
      <w:r w:rsidR="004B2ABF" w:rsidRPr="005371C6">
        <w:rPr>
          <w:spacing w:val="-10"/>
        </w:rPr>
        <w:t xml:space="preserve"> số 01/QyĐ-VKSTC ngày 03/4/2017</w:t>
      </w:r>
      <w:r w:rsidR="00282BD5" w:rsidRPr="005371C6">
        <w:rPr>
          <w:spacing w:val="-10"/>
        </w:rPr>
        <w:t xml:space="preserve"> của Viện trưởng VKSND tối cao</w:t>
      </w:r>
      <w:r w:rsidR="00BD157F" w:rsidRPr="005371C6">
        <w:rPr>
          <w:spacing w:val="-10"/>
        </w:rPr>
        <w:t xml:space="preserve"> về việc ký văn </w:t>
      </w:r>
      <w:r w:rsidR="00282BD5" w:rsidRPr="005371C6">
        <w:rPr>
          <w:spacing w:val="-10"/>
        </w:rPr>
        <w:t>bản thuộc thẩm quyền của VKSND tối cao</w:t>
      </w:r>
      <w:r w:rsidR="004B2ABF" w:rsidRPr="005371C6">
        <w:rPr>
          <w:spacing w:val="-10"/>
        </w:rPr>
        <w:t>;</w:t>
      </w:r>
    </w:p>
    <w:p w:rsidR="00472257" w:rsidRPr="00E8207F" w:rsidRDefault="00472257" w:rsidP="001B3B80">
      <w:pPr>
        <w:autoSpaceDE w:val="0"/>
        <w:autoSpaceDN w:val="0"/>
        <w:adjustRightInd w:val="0"/>
        <w:spacing w:before="60" w:after="60"/>
        <w:ind w:firstLine="720"/>
      </w:pPr>
      <w:r>
        <w:t xml:space="preserve">Xét đề nghị của </w:t>
      </w:r>
      <w:r w:rsidR="001B3B80">
        <w:t xml:space="preserve">Chánh </w:t>
      </w:r>
      <w:r>
        <w:t>Văn phòng</w:t>
      </w:r>
      <w:r w:rsidR="0060426D">
        <w:t xml:space="preserve"> Viện kiểm sát nhân dân tối cao,</w:t>
      </w:r>
    </w:p>
    <w:p w:rsidR="00472257" w:rsidRPr="00E8207F" w:rsidRDefault="00472257" w:rsidP="001B3B80">
      <w:pPr>
        <w:autoSpaceDE w:val="0"/>
        <w:autoSpaceDN w:val="0"/>
        <w:adjustRightInd w:val="0"/>
        <w:spacing w:before="0"/>
        <w:ind w:firstLine="720"/>
      </w:pPr>
    </w:p>
    <w:p w:rsidR="00472257" w:rsidRPr="001E3C50" w:rsidRDefault="00472257" w:rsidP="00EA3CFD">
      <w:pPr>
        <w:autoSpaceDE w:val="0"/>
        <w:autoSpaceDN w:val="0"/>
        <w:adjustRightInd w:val="0"/>
        <w:spacing w:before="0"/>
        <w:jc w:val="center"/>
        <w:rPr>
          <w:b/>
          <w:bCs/>
          <w:szCs w:val="32"/>
        </w:rPr>
      </w:pPr>
      <w:r w:rsidRPr="001E3C50">
        <w:rPr>
          <w:b/>
          <w:bCs/>
          <w:szCs w:val="32"/>
        </w:rPr>
        <w:t>QUYẾT ĐỊNH:</w:t>
      </w:r>
    </w:p>
    <w:p w:rsidR="001B3B80" w:rsidRPr="001E3C50" w:rsidRDefault="001B3B80" w:rsidP="001B3B80">
      <w:pPr>
        <w:autoSpaceDE w:val="0"/>
        <w:autoSpaceDN w:val="0"/>
        <w:adjustRightInd w:val="0"/>
        <w:spacing w:before="60" w:after="60"/>
        <w:ind w:firstLine="720"/>
        <w:rPr>
          <w:b/>
          <w:bCs/>
          <w:sz w:val="24"/>
        </w:rPr>
      </w:pPr>
    </w:p>
    <w:p w:rsidR="00472257" w:rsidRPr="001B3B80" w:rsidRDefault="00472257" w:rsidP="00BC6B97">
      <w:pPr>
        <w:autoSpaceDE w:val="0"/>
        <w:autoSpaceDN w:val="0"/>
        <w:adjustRightInd w:val="0"/>
        <w:spacing w:before="120" w:after="120"/>
        <w:ind w:firstLine="720"/>
      </w:pPr>
      <w:r w:rsidRPr="00E8207F">
        <w:rPr>
          <w:b/>
          <w:bCs/>
        </w:rPr>
        <w:t>Điều 1.</w:t>
      </w:r>
      <w:r w:rsidR="00482067">
        <w:rPr>
          <w:b/>
          <w:bCs/>
        </w:rPr>
        <w:t xml:space="preserve"> </w:t>
      </w:r>
      <w:r>
        <w:t xml:space="preserve">Ban hành kèm theo Quyết định này là </w:t>
      </w:r>
      <w:r w:rsidR="00F91FB2">
        <w:t>1</w:t>
      </w:r>
      <w:r w:rsidR="00BE59AD">
        <w:t>85</w:t>
      </w:r>
      <w:r w:rsidR="00482067">
        <w:t xml:space="preserve"> </w:t>
      </w:r>
      <w:r w:rsidRPr="001B3B80">
        <w:t>mẫu văn bản tố tụng</w:t>
      </w:r>
      <w:r w:rsidR="002B06AE">
        <w:t>, nghiệp vụ</w:t>
      </w:r>
      <w:r w:rsidRPr="001B3B80">
        <w:t xml:space="preserve"> tạm thời trong công tác kiểm</w:t>
      </w:r>
      <w:r w:rsidR="00F91FB2" w:rsidRPr="001B3B80">
        <w:t xml:space="preserve"> sát hoạt động tư pháp</w:t>
      </w:r>
      <w:r w:rsidR="001505F7">
        <w:t>,</w:t>
      </w:r>
      <w:r w:rsidR="0060426D" w:rsidRPr="001B3B80">
        <w:t xml:space="preserve"> gồm:</w:t>
      </w:r>
    </w:p>
    <w:p w:rsidR="00097C44" w:rsidRDefault="00482067" w:rsidP="00BC6B97">
      <w:pPr>
        <w:pStyle w:val="BodyText3"/>
        <w:spacing w:before="120"/>
        <w:ind w:firstLine="720"/>
        <w:jc w:val="both"/>
      </w:pPr>
      <w:r>
        <w:rPr>
          <w:rFonts w:ascii="Times New Roman" w:hAnsi="Times New Roman"/>
          <w:sz w:val="28"/>
          <w:szCs w:val="28"/>
        </w:rPr>
        <w:t>1. C</w:t>
      </w:r>
      <w:r w:rsidR="00C51D6F">
        <w:rPr>
          <w:rFonts w:ascii="Times New Roman" w:hAnsi="Times New Roman"/>
          <w:sz w:val="28"/>
          <w:szCs w:val="28"/>
        </w:rPr>
        <w:t xml:space="preserve">ông tác </w:t>
      </w:r>
      <w:r w:rsidR="00472257" w:rsidRPr="00834927">
        <w:rPr>
          <w:rFonts w:ascii="Times New Roman" w:hAnsi="Times New Roman"/>
          <w:sz w:val="28"/>
          <w:szCs w:val="28"/>
        </w:rPr>
        <w:t xml:space="preserve">kiểm sát </w:t>
      </w:r>
      <w:r w:rsidR="00C51D6F">
        <w:rPr>
          <w:rFonts w:ascii="Times New Roman" w:hAnsi="Times New Roman"/>
          <w:sz w:val="28"/>
          <w:szCs w:val="28"/>
        </w:rPr>
        <w:t xml:space="preserve">việc </w:t>
      </w:r>
      <w:r w:rsidR="00472257" w:rsidRPr="00834927">
        <w:rPr>
          <w:rFonts w:ascii="Times New Roman" w:hAnsi="Times New Roman"/>
          <w:sz w:val="28"/>
          <w:szCs w:val="28"/>
        </w:rPr>
        <w:t xml:space="preserve">giải quyết </w:t>
      </w:r>
      <w:r w:rsidR="00C51D6F">
        <w:rPr>
          <w:rFonts w:ascii="Times New Roman" w:hAnsi="Times New Roman"/>
          <w:sz w:val="28"/>
          <w:szCs w:val="28"/>
        </w:rPr>
        <w:t>các vụ</w:t>
      </w:r>
      <w:r w:rsidR="00937608">
        <w:rPr>
          <w:rFonts w:ascii="Times New Roman" w:hAnsi="Times New Roman"/>
          <w:sz w:val="28"/>
          <w:szCs w:val="28"/>
        </w:rPr>
        <w:t>,</w:t>
      </w:r>
      <w:r w:rsidR="00C51D6F">
        <w:rPr>
          <w:rFonts w:ascii="Times New Roman" w:hAnsi="Times New Roman"/>
          <w:sz w:val="28"/>
          <w:szCs w:val="28"/>
        </w:rPr>
        <w:t xml:space="preserve"> việc</w:t>
      </w:r>
      <w:r w:rsidR="00472257" w:rsidRPr="00834927">
        <w:rPr>
          <w:rFonts w:ascii="Times New Roman" w:hAnsi="Times New Roman"/>
          <w:sz w:val="28"/>
          <w:szCs w:val="28"/>
        </w:rPr>
        <w:t xml:space="preserve"> dân sự</w:t>
      </w:r>
      <w:r w:rsidR="00C51D6F">
        <w:rPr>
          <w:rFonts w:ascii="Times New Roman" w:hAnsi="Times New Roman"/>
          <w:sz w:val="28"/>
          <w:szCs w:val="28"/>
        </w:rPr>
        <w:t>, hôn nhân và gia đình</w:t>
      </w:r>
      <w:r w:rsidR="00626FC6">
        <w:rPr>
          <w:rFonts w:ascii="Times New Roman" w:hAnsi="Times New Roman"/>
          <w:sz w:val="28"/>
          <w:szCs w:val="28"/>
        </w:rPr>
        <w:t>: 4</w:t>
      </w:r>
      <w:r w:rsidR="00D637B9">
        <w:rPr>
          <w:rFonts w:ascii="Times New Roman" w:hAnsi="Times New Roman"/>
          <w:sz w:val="28"/>
          <w:szCs w:val="28"/>
        </w:rPr>
        <w:t>2</w:t>
      </w:r>
      <w:r w:rsidR="00626FC6" w:rsidRPr="00834927">
        <w:rPr>
          <w:rFonts w:ascii="Times New Roman" w:hAnsi="Times New Roman"/>
          <w:sz w:val="28"/>
          <w:szCs w:val="28"/>
        </w:rPr>
        <w:t xml:space="preserve"> mẫu</w:t>
      </w:r>
      <w:r w:rsidR="00472257" w:rsidRPr="00834927">
        <w:rPr>
          <w:rFonts w:ascii="Times New Roman" w:hAnsi="Times New Roman"/>
          <w:sz w:val="28"/>
          <w:szCs w:val="28"/>
        </w:rPr>
        <w:t xml:space="preserve"> thay thế mẫu văn bản tố tụng trong kiểm sát giải quyết các vụ, việc dân sự ban hành kèm theo Quyết định số 566/2012/QĐ-VKSTC ngày 08/10/2012 của Viện trưởng </w:t>
      </w:r>
      <w:r w:rsidR="00EA3CFD">
        <w:rPr>
          <w:rFonts w:ascii="Times New Roman" w:hAnsi="Times New Roman"/>
          <w:sz w:val="28"/>
          <w:szCs w:val="28"/>
        </w:rPr>
        <w:t xml:space="preserve">Viện kiểm sát nhân dân </w:t>
      </w:r>
      <w:r w:rsidR="00472257" w:rsidRPr="00834927">
        <w:rPr>
          <w:rFonts w:ascii="Times New Roman" w:hAnsi="Times New Roman"/>
          <w:sz w:val="28"/>
          <w:szCs w:val="28"/>
        </w:rPr>
        <w:t>tối cao</w:t>
      </w:r>
      <w:r w:rsidR="00834927" w:rsidRPr="00834927">
        <w:rPr>
          <w:rFonts w:ascii="Times New Roman" w:hAnsi="Times New Roman"/>
          <w:sz w:val="28"/>
          <w:szCs w:val="28"/>
        </w:rPr>
        <w:t>;</w:t>
      </w:r>
    </w:p>
    <w:p w:rsidR="00514B11" w:rsidRPr="00E05595" w:rsidRDefault="00482067" w:rsidP="008C5370">
      <w:pPr>
        <w:pStyle w:val="BodyText3"/>
        <w:spacing w:before="120"/>
        <w:ind w:firstLine="720"/>
        <w:jc w:val="both"/>
        <w:rPr>
          <w:rFonts w:ascii="Times New Roman" w:hAnsi="Times New Roman"/>
          <w:spacing w:val="-2"/>
          <w:sz w:val="28"/>
          <w:szCs w:val="28"/>
          <w:lang w:val="pt-BR"/>
        </w:rPr>
      </w:pPr>
      <w:r>
        <w:rPr>
          <w:rFonts w:ascii="Times New Roman" w:hAnsi="Times New Roman"/>
          <w:spacing w:val="-2"/>
          <w:sz w:val="28"/>
          <w:szCs w:val="28"/>
          <w:lang w:val="pt-BR"/>
        </w:rPr>
        <w:t xml:space="preserve">2. </w:t>
      </w:r>
      <w:r w:rsidR="00E677A0">
        <w:rPr>
          <w:rFonts w:ascii="Times New Roman" w:hAnsi="Times New Roman"/>
          <w:spacing w:val="-2"/>
          <w:sz w:val="28"/>
          <w:szCs w:val="28"/>
          <w:lang w:val="pt-BR"/>
        </w:rPr>
        <w:t xml:space="preserve"> </w:t>
      </w:r>
      <w:r w:rsidR="00FD5F9A">
        <w:rPr>
          <w:rFonts w:ascii="Times New Roman" w:hAnsi="Times New Roman"/>
          <w:spacing w:val="-2"/>
          <w:sz w:val="28"/>
          <w:szCs w:val="28"/>
          <w:lang w:val="pt-BR"/>
        </w:rPr>
        <w:t>C</w:t>
      </w:r>
      <w:r w:rsidR="00B9710B" w:rsidRPr="001505F7">
        <w:rPr>
          <w:rFonts w:ascii="Times New Roman" w:hAnsi="Times New Roman"/>
          <w:spacing w:val="-2"/>
          <w:sz w:val="28"/>
          <w:szCs w:val="28"/>
          <w:lang w:val="pt-BR"/>
        </w:rPr>
        <w:t xml:space="preserve">ông tác </w:t>
      </w:r>
      <w:r w:rsidR="00834927" w:rsidRPr="001505F7">
        <w:rPr>
          <w:rFonts w:ascii="Times New Roman" w:hAnsi="Times New Roman"/>
          <w:spacing w:val="-2"/>
          <w:sz w:val="28"/>
          <w:szCs w:val="28"/>
          <w:lang w:val="pt-BR"/>
        </w:rPr>
        <w:t>kiểm sát việc giải quyết các vụ án hành chính</w:t>
      </w:r>
      <w:r w:rsidR="008C5370">
        <w:rPr>
          <w:rFonts w:ascii="Times New Roman" w:hAnsi="Times New Roman"/>
          <w:spacing w:val="-2"/>
          <w:sz w:val="28"/>
          <w:szCs w:val="28"/>
          <w:lang w:val="pt-BR"/>
        </w:rPr>
        <w:t xml:space="preserve">, kinh doanh thương mại, lao động và </w:t>
      </w:r>
      <w:r w:rsidR="00E05595">
        <w:rPr>
          <w:rFonts w:ascii="Times New Roman" w:hAnsi="Times New Roman"/>
          <w:spacing w:val="-2"/>
          <w:sz w:val="28"/>
          <w:szCs w:val="28"/>
          <w:lang w:val="pt-BR"/>
        </w:rPr>
        <w:t>những việc khác theo quy định của pháp luật</w:t>
      </w:r>
      <w:r w:rsidR="00093747">
        <w:rPr>
          <w:rFonts w:ascii="Times New Roman" w:hAnsi="Times New Roman"/>
          <w:spacing w:val="-2"/>
          <w:sz w:val="28"/>
          <w:szCs w:val="28"/>
          <w:lang w:val="pt-BR"/>
        </w:rPr>
        <w:t xml:space="preserve">: </w:t>
      </w:r>
      <w:r w:rsidR="00093747">
        <w:rPr>
          <w:rFonts w:ascii="Times New Roman" w:hAnsi="Times New Roman"/>
          <w:sz w:val="28"/>
          <w:szCs w:val="28"/>
          <w:lang w:val="pt-BR"/>
        </w:rPr>
        <w:t>36 mẫu</w:t>
      </w:r>
      <w:r w:rsidR="00097C44" w:rsidRPr="001505F7">
        <w:rPr>
          <w:rFonts w:ascii="Times New Roman" w:hAnsi="Times New Roman"/>
          <w:spacing w:val="-2"/>
          <w:sz w:val="28"/>
          <w:szCs w:val="28"/>
        </w:rPr>
        <w:t xml:space="preserve"> thay thế mẫu văn bản tố tụng trong kiểm sát giải quyết</w:t>
      </w:r>
      <w:r w:rsidR="00FD5F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97C44" w:rsidRPr="001505F7">
        <w:rPr>
          <w:rFonts w:ascii="Times New Roman" w:hAnsi="Times New Roman"/>
          <w:spacing w:val="-2"/>
          <w:sz w:val="28"/>
          <w:szCs w:val="28"/>
          <w:lang w:val="pt-BR"/>
        </w:rPr>
        <w:t>các vụ án hành chính</w:t>
      </w:r>
      <w:r w:rsidR="00FD5F9A">
        <w:rPr>
          <w:rFonts w:ascii="Times New Roman" w:hAnsi="Times New Roman"/>
          <w:spacing w:val="-2"/>
          <w:sz w:val="28"/>
          <w:szCs w:val="28"/>
          <w:lang w:val="pt-BR"/>
        </w:rPr>
        <w:t xml:space="preserve"> </w:t>
      </w:r>
      <w:r w:rsidR="00834927" w:rsidRPr="001505F7">
        <w:rPr>
          <w:rFonts w:ascii="Times New Roman" w:hAnsi="Times New Roman"/>
          <w:spacing w:val="-2"/>
          <w:sz w:val="28"/>
          <w:szCs w:val="28"/>
          <w:lang w:val="pt-BR"/>
        </w:rPr>
        <w:t xml:space="preserve">ban </w:t>
      </w:r>
      <w:r w:rsidR="00834927" w:rsidRPr="005371C6">
        <w:rPr>
          <w:rFonts w:ascii="Times New Roman" w:hAnsi="Times New Roman"/>
          <w:spacing w:val="-8"/>
          <w:sz w:val="28"/>
          <w:szCs w:val="28"/>
          <w:lang w:val="pt-BR"/>
        </w:rPr>
        <w:t xml:space="preserve">hành kèm theo văn </w:t>
      </w:r>
      <w:r w:rsidR="00B9710B" w:rsidRPr="005371C6">
        <w:rPr>
          <w:rFonts w:ascii="Times New Roman" w:hAnsi="Times New Roman"/>
          <w:spacing w:val="-8"/>
          <w:sz w:val="28"/>
          <w:szCs w:val="28"/>
          <w:lang w:val="pt-BR"/>
        </w:rPr>
        <w:t xml:space="preserve">bản </w:t>
      </w:r>
      <w:r w:rsidR="00834927" w:rsidRPr="005371C6">
        <w:rPr>
          <w:rFonts w:ascii="Times New Roman" w:hAnsi="Times New Roman"/>
          <w:spacing w:val="-8"/>
          <w:sz w:val="28"/>
          <w:szCs w:val="28"/>
          <w:lang w:val="pt-BR"/>
        </w:rPr>
        <w:t xml:space="preserve">số 2766/V12, ngày 08/9/2011 của </w:t>
      </w:r>
      <w:r w:rsidR="00EA3CFD" w:rsidRPr="005371C6">
        <w:rPr>
          <w:rFonts w:ascii="Times New Roman" w:hAnsi="Times New Roman"/>
          <w:spacing w:val="-8"/>
          <w:sz w:val="28"/>
          <w:szCs w:val="28"/>
        </w:rPr>
        <w:t>Viện trưởng Viện kiểm sát nhân dân</w:t>
      </w:r>
      <w:r w:rsidR="00834927" w:rsidRPr="005371C6">
        <w:rPr>
          <w:rFonts w:ascii="Times New Roman" w:hAnsi="Times New Roman"/>
          <w:spacing w:val="-8"/>
          <w:sz w:val="28"/>
          <w:szCs w:val="28"/>
          <w:lang w:val="pt-BR"/>
        </w:rPr>
        <w:t xml:space="preserve"> tối cao</w:t>
      </w:r>
      <w:r w:rsidR="00834927" w:rsidRPr="001505F7">
        <w:rPr>
          <w:rFonts w:ascii="Times New Roman" w:hAnsi="Times New Roman"/>
          <w:spacing w:val="-2"/>
          <w:sz w:val="28"/>
          <w:szCs w:val="28"/>
          <w:lang w:val="pt-BR"/>
        </w:rPr>
        <w:t>;</w:t>
      </w:r>
      <w:r w:rsidR="008C5370">
        <w:rPr>
          <w:rFonts w:ascii="Times New Roman" w:hAnsi="Times New Roman"/>
          <w:spacing w:val="-2"/>
          <w:sz w:val="28"/>
          <w:szCs w:val="28"/>
          <w:lang w:val="pt-BR"/>
        </w:rPr>
        <w:t xml:space="preserve"> </w:t>
      </w:r>
      <w:r w:rsidR="00E05595" w:rsidRPr="00E05595">
        <w:rPr>
          <w:rFonts w:ascii="Times New Roman" w:hAnsi="Times New Roman"/>
          <w:spacing w:val="-2"/>
          <w:sz w:val="28"/>
          <w:szCs w:val="28"/>
          <w:lang w:val="pt-BR"/>
        </w:rPr>
        <w:t xml:space="preserve">22 mẫu </w:t>
      </w:r>
      <w:r w:rsidR="005371C6">
        <w:rPr>
          <w:rFonts w:ascii="Times New Roman" w:hAnsi="Times New Roman"/>
          <w:spacing w:val="-2"/>
          <w:sz w:val="28"/>
          <w:szCs w:val="28"/>
          <w:lang w:val="pt-BR"/>
        </w:rPr>
        <w:t xml:space="preserve">công tác </w:t>
      </w:r>
      <w:r w:rsidR="00E05595" w:rsidRPr="00E05595">
        <w:rPr>
          <w:rFonts w:ascii="Times New Roman" w:hAnsi="Times New Roman"/>
          <w:spacing w:val="-2"/>
          <w:sz w:val="28"/>
          <w:szCs w:val="28"/>
          <w:lang w:val="pt-BR"/>
        </w:rPr>
        <w:t xml:space="preserve">kiểm sát </w:t>
      </w:r>
      <w:r w:rsidR="005371C6">
        <w:rPr>
          <w:rFonts w:ascii="Times New Roman" w:hAnsi="Times New Roman"/>
          <w:spacing w:val="-2"/>
          <w:sz w:val="28"/>
          <w:szCs w:val="28"/>
          <w:lang w:val="pt-BR"/>
        </w:rPr>
        <w:t xml:space="preserve">giải quyết các vụ, việc </w:t>
      </w:r>
      <w:r w:rsidR="00E05595" w:rsidRPr="00E05595">
        <w:rPr>
          <w:rFonts w:ascii="Times New Roman" w:hAnsi="Times New Roman"/>
          <w:spacing w:val="-2"/>
          <w:sz w:val="28"/>
          <w:szCs w:val="28"/>
          <w:lang w:val="pt-BR"/>
        </w:rPr>
        <w:t xml:space="preserve">phá sản theo </w:t>
      </w:r>
      <w:r w:rsidR="001A319A">
        <w:rPr>
          <w:rFonts w:ascii="Times New Roman" w:hAnsi="Times New Roman"/>
          <w:spacing w:val="-2"/>
          <w:sz w:val="28"/>
          <w:szCs w:val="28"/>
          <w:lang w:val="pt-BR"/>
        </w:rPr>
        <w:t>L</w:t>
      </w:r>
      <w:r w:rsidR="00E05595" w:rsidRPr="00E05595">
        <w:rPr>
          <w:rFonts w:ascii="Times New Roman" w:hAnsi="Times New Roman"/>
          <w:spacing w:val="-2"/>
          <w:sz w:val="28"/>
          <w:szCs w:val="28"/>
          <w:lang w:val="pt-BR"/>
        </w:rPr>
        <w:t xml:space="preserve">uật phá sản năm 2014; 07 mẫu kiểm sát việc tuân theo pháp luật trong thi hành </w:t>
      </w:r>
      <w:r w:rsidR="00382C95">
        <w:rPr>
          <w:rFonts w:ascii="Times New Roman" w:hAnsi="Times New Roman"/>
          <w:spacing w:val="-2"/>
          <w:sz w:val="28"/>
          <w:szCs w:val="28"/>
          <w:lang w:val="pt-BR"/>
        </w:rPr>
        <w:t>P</w:t>
      </w:r>
      <w:r w:rsidR="00E05595" w:rsidRPr="00E05595">
        <w:rPr>
          <w:rFonts w:ascii="Times New Roman" w:hAnsi="Times New Roman"/>
          <w:spacing w:val="-2"/>
          <w:sz w:val="28"/>
          <w:szCs w:val="28"/>
          <w:lang w:val="pt-BR"/>
        </w:rPr>
        <w:t>háp lệnh trình tự thủ tục xem xét quyết định áp dụng các biện pháp xử lý hành chính tại Tòa án nhân dân;</w:t>
      </w:r>
    </w:p>
    <w:p w:rsidR="00097C44" w:rsidRDefault="00FD5F9A" w:rsidP="00BC6B97">
      <w:pPr>
        <w:pStyle w:val="BodyText3"/>
        <w:spacing w:before="120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3. </w:t>
      </w:r>
      <w:r w:rsidR="00E677A0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C</w:t>
      </w:r>
      <w:r w:rsidR="00B9710B">
        <w:rPr>
          <w:rFonts w:ascii="Times New Roman" w:hAnsi="Times New Roman"/>
          <w:sz w:val="28"/>
          <w:szCs w:val="28"/>
          <w:lang w:val="pt-BR"/>
        </w:rPr>
        <w:t xml:space="preserve">ông tác </w:t>
      </w:r>
      <w:r w:rsidR="00834927" w:rsidRPr="006C54BF">
        <w:rPr>
          <w:rFonts w:ascii="Times New Roman" w:hAnsi="Times New Roman"/>
          <w:sz w:val="28"/>
          <w:szCs w:val="28"/>
          <w:lang w:val="pt-BR"/>
        </w:rPr>
        <w:t>kiểm sát thi hành án</w:t>
      </w:r>
      <w:r w:rsidR="008F069A">
        <w:rPr>
          <w:rFonts w:ascii="Times New Roman" w:hAnsi="Times New Roman"/>
          <w:sz w:val="28"/>
          <w:szCs w:val="28"/>
          <w:lang w:val="pt-BR"/>
        </w:rPr>
        <w:t xml:space="preserve"> dân sự</w:t>
      </w:r>
      <w:r>
        <w:rPr>
          <w:rFonts w:ascii="Times New Roman" w:hAnsi="Times New Roman"/>
          <w:sz w:val="28"/>
          <w:szCs w:val="28"/>
          <w:lang w:val="pt-BR"/>
        </w:rPr>
        <w:t xml:space="preserve">: 36 mẫu </w:t>
      </w:r>
      <w:r w:rsidR="00097C44" w:rsidRPr="00834927">
        <w:rPr>
          <w:rFonts w:ascii="Times New Roman" w:hAnsi="Times New Roman"/>
          <w:sz w:val="28"/>
          <w:szCs w:val="28"/>
        </w:rPr>
        <w:t>thay thế mẫu văn bản tố tụng trong kiểm sát</w:t>
      </w:r>
      <w:r>
        <w:rPr>
          <w:rFonts w:ascii="Times New Roman" w:hAnsi="Times New Roman"/>
          <w:sz w:val="28"/>
          <w:szCs w:val="28"/>
        </w:rPr>
        <w:t xml:space="preserve"> </w:t>
      </w:r>
      <w:r w:rsidR="008F069A" w:rsidRPr="006C54BF">
        <w:rPr>
          <w:rFonts w:ascii="Times New Roman" w:hAnsi="Times New Roman"/>
          <w:sz w:val="28"/>
          <w:szCs w:val="28"/>
          <w:lang w:val="pt-BR"/>
        </w:rPr>
        <w:t>thi hành án</w:t>
      </w:r>
      <w:r w:rsidR="008F069A">
        <w:rPr>
          <w:rFonts w:ascii="Times New Roman" w:hAnsi="Times New Roman"/>
          <w:sz w:val="28"/>
          <w:szCs w:val="28"/>
          <w:lang w:val="pt-BR"/>
        </w:rPr>
        <w:t xml:space="preserve"> dân sự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34927" w:rsidRPr="006C54BF">
        <w:rPr>
          <w:rFonts w:ascii="Times New Roman" w:hAnsi="Times New Roman"/>
          <w:sz w:val="28"/>
          <w:szCs w:val="28"/>
          <w:lang w:val="pt-BR"/>
        </w:rPr>
        <w:t xml:space="preserve">ban hành kèm theo Quyết định số </w:t>
      </w:r>
      <w:r w:rsidR="00834927" w:rsidRPr="006C54BF">
        <w:rPr>
          <w:rFonts w:ascii="Times New Roman" w:hAnsi="Times New Roman"/>
          <w:sz w:val="28"/>
          <w:szCs w:val="28"/>
          <w:lang w:val="pt-BR"/>
        </w:rPr>
        <w:lastRenderedPageBreak/>
        <w:t>156/2004/QC-KSTHA ngày 11/12/2004</w:t>
      </w:r>
      <w:r w:rsidR="004E18A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34927" w:rsidRPr="006C54BF">
        <w:rPr>
          <w:rFonts w:ascii="Times New Roman" w:hAnsi="Times New Roman"/>
          <w:sz w:val="28"/>
          <w:szCs w:val="28"/>
          <w:lang w:val="pt-BR"/>
        </w:rPr>
        <w:t xml:space="preserve">của Viện trưởng </w:t>
      </w:r>
      <w:r w:rsidR="00EA3CFD">
        <w:rPr>
          <w:rFonts w:ascii="Times New Roman" w:hAnsi="Times New Roman"/>
          <w:sz w:val="28"/>
          <w:szCs w:val="28"/>
        </w:rPr>
        <w:t>Viện kiểm sát nhân dân</w:t>
      </w:r>
      <w:r w:rsidR="00834927" w:rsidRPr="006C54BF">
        <w:rPr>
          <w:rFonts w:ascii="Times New Roman" w:hAnsi="Times New Roman"/>
          <w:sz w:val="28"/>
          <w:szCs w:val="28"/>
          <w:lang w:val="pt-BR"/>
        </w:rPr>
        <w:t xml:space="preserve"> tối cao; </w:t>
      </w:r>
    </w:p>
    <w:p w:rsidR="001B3B80" w:rsidRDefault="00093747" w:rsidP="00BC6B97">
      <w:pPr>
        <w:pStyle w:val="BodyText3"/>
        <w:spacing w:before="120"/>
        <w:ind w:firstLine="720"/>
        <w:jc w:val="both"/>
        <w:rPr>
          <w:rFonts w:ascii="Times New Roman" w:hAnsi="Times New Roman"/>
          <w:spacing w:val="4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4. C</w:t>
      </w:r>
      <w:r w:rsidR="00B9710B">
        <w:rPr>
          <w:rFonts w:ascii="Times New Roman" w:hAnsi="Times New Roman"/>
          <w:sz w:val="28"/>
          <w:szCs w:val="28"/>
          <w:lang w:val="pt-BR"/>
        </w:rPr>
        <w:t xml:space="preserve">ông tác </w:t>
      </w:r>
      <w:r w:rsidR="0044228F">
        <w:rPr>
          <w:rFonts w:ascii="Times New Roman" w:hAnsi="Times New Roman"/>
          <w:sz w:val="28"/>
          <w:szCs w:val="28"/>
          <w:lang w:val="pt-BR"/>
        </w:rPr>
        <w:t>k</w:t>
      </w:r>
      <w:r w:rsidR="00834927" w:rsidRPr="006C54BF">
        <w:rPr>
          <w:rFonts w:ascii="Times New Roman" w:hAnsi="Times New Roman"/>
          <w:spacing w:val="4"/>
          <w:sz w:val="28"/>
          <w:szCs w:val="28"/>
          <w:lang w:val="pt-BR"/>
        </w:rPr>
        <w:t>iểm sát việc giải quyết khiếu nại, tố cáo</w:t>
      </w:r>
      <w:r>
        <w:rPr>
          <w:rFonts w:ascii="Times New Roman" w:hAnsi="Times New Roman"/>
          <w:spacing w:val="4"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sz w:val="28"/>
          <w:szCs w:val="28"/>
          <w:lang w:val="pt-BR"/>
        </w:rPr>
        <w:t>4</w:t>
      </w:r>
      <w:r w:rsidR="00514B11">
        <w:rPr>
          <w:rFonts w:ascii="Times New Roman" w:hAnsi="Times New Roman"/>
          <w:sz w:val="28"/>
          <w:szCs w:val="28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mẫu</w:t>
      </w:r>
      <w:r w:rsidR="00834927" w:rsidRPr="006C54BF">
        <w:rPr>
          <w:rFonts w:ascii="Times New Roman" w:hAnsi="Times New Roman"/>
          <w:spacing w:val="4"/>
          <w:sz w:val="28"/>
          <w:szCs w:val="28"/>
          <w:lang w:val="pt-BR"/>
        </w:rPr>
        <w:t xml:space="preserve"> </w:t>
      </w:r>
      <w:r w:rsidR="00097C44" w:rsidRPr="00834927">
        <w:rPr>
          <w:rFonts w:ascii="Times New Roman" w:hAnsi="Times New Roman"/>
          <w:sz w:val="28"/>
          <w:szCs w:val="28"/>
        </w:rPr>
        <w:t xml:space="preserve">thay thế mẫu văn bản tố tụng trong kiểm sát giải quyết </w:t>
      </w:r>
      <w:r w:rsidR="006B0346" w:rsidRPr="006C54BF">
        <w:rPr>
          <w:rFonts w:ascii="Times New Roman" w:hAnsi="Times New Roman"/>
          <w:spacing w:val="4"/>
          <w:sz w:val="28"/>
          <w:szCs w:val="28"/>
          <w:lang w:val="pt-BR"/>
        </w:rPr>
        <w:t xml:space="preserve">khiếu nại, tố cáo </w:t>
      </w:r>
      <w:r w:rsidR="00834927" w:rsidRPr="006C54BF">
        <w:rPr>
          <w:rFonts w:ascii="Times New Roman" w:hAnsi="Times New Roman"/>
          <w:spacing w:val="4"/>
          <w:sz w:val="28"/>
          <w:szCs w:val="28"/>
          <w:lang w:val="pt-BR"/>
        </w:rPr>
        <w:t>ban hành kèm theo Quyết định số 53/2012/QĐ-VKSTC ngày 15/</w:t>
      </w:r>
      <w:r w:rsidR="004E18A3">
        <w:rPr>
          <w:rFonts w:ascii="Times New Roman" w:hAnsi="Times New Roman"/>
          <w:spacing w:val="4"/>
          <w:sz w:val="28"/>
          <w:szCs w:val="28"/>
          <w:lang w:val="pt-BR"/>
        </w:rPr>
        <w:t>0</w:t>
      </w:r>
      <w:r w:rsidR="00834927" w:rsidRPr="006C54BF">
        <w:rPr>
          <w:rFonts w:ascii="Times New Roman" w:hAnsi="Times New Roman"/>
          <w:spacing w:val="4"/>
          <w:sz w:val="28"/>
          <w:szCs w:val="28"/>
          <w:lang w:val="pt-BR"/>
        </w:rPr>
        <w:t>2/2012</w:t>
      </w:r>
      <w:r>
        <w:rPr>
          <w:rFonts w:ascii="Times New Roman" w:hAnsi="Times New Roman"/>
          <w:spacing w:val="4"/>
          <w:sz w:val="28"/>
          <w:szCs w:val="28"/>
          <w:lang w:val="pt-BR"/>
        </w:rPr>
        <w:t xml:space="preserve"> </w:t>
      </w:r>
      <w:r w:rsidR="00834927" w:rsidRPr="006C54BF">
        <w:rPr>
          <w:rFonts w:ascii="Times New Roman" w:hAnsi="Times New Roman"/>
          <w:spacing w:val="4"/>
          <w:sz w:val="28"/>
          <w:szCs w:val="28"/>
          <w:lang w:val="pt-BR"/>
        </w:rPr>
        <w:t xml:space="preserve">của Viện trưởng </w:t>
      </w:r>
      <w:r w:rsidR="00EA3CFD">
        <w:rPr>
          <w:rFonts w:ascii="Times New Roman" w:hAnsi="Times New Roman"/>
          <w:sz w:val="28"/>
          <w:szCs w:val="28"/>
        </w:rPr>
        <w:t>Viện kiểm sát nhân dân</w:t>
      </w:r>
      <w:r>
        <w:rPr>
          <w:rFonts w:ascii="Times New Roman" w:hAnsi="Times New Roman"/>
          <w:sz w:val="28"/>
          <w:szCs w:val="28"/>
        </w:rPr>
        <w:t xml:space="preserve"> </w:t>
      </w:r>
      <w:r w:rsidR="00834927" w:rsidRPr="006C54BF">
        <w:rPr>
          <w:rFonts w:ascii="Times New Roman" w:hAnsi="Times New Roman"/>
          <w:spacing w:val="4"/>
          <w:sz w:val="28"/>
          <w:szCs w:val="28"/>
          <w:lang w:val="pt-BR"/>
        </w:rPr>
        <w:t>tối cao.</w:t>
      </w:r>
    </w:p>
    <w:p w:rsidR="001B3B80" w:rsidRPr="00E8207F" w:rsidRDefault="001B3B80" w:rsidP="00BC6B97">
      <w:pPr>
        <w:autoSpaceDE w:val="0"/>
        <w:autoSpaceDN w:val="0"/>
        <w:adjustRightInd w:val="0"/>
        <w:spacing w:before="120" w:after="120"/>
        <w:ind w:firstLine="720"/>
      </w:pPr>
      <w:r w:rsidRPr="00472257">
        <w:rPr>
          <w:b/>
        </w:rPr>
        <w:t xml:space="preserve">Điều </w:t>
      </w:r>
      <w:r>
        <w:rPr>
          <w:b/>
        </w:rPr>
        <w:t>2</w:t>
      </w:r>
      <w:r w:rsidRPr="00472257">
        <w:rPr>
          <w:b/>
        </w:rPr>
        <w:t xml:space="preserve">. </w:t>
      </w:r>
      <w:r>
        <w:t>Quyết định này có hiệu lực thi hành</w:t>
      </w:r>
      <w:r w:rsidR="004B2ABF">
        <w:t xml:space="preserve"> kể</w:t>
      </w:r>
      <w:r>
        <w:t xml:space="preserve"> từ ngày ký.</w:t>
      </w:r>
    </w:p>
    <w:p w:rsidR="00472257" w:rsidRPr="00556AEE" w:rsidRDefault="00472257" w:rsidP="00BC6B97">
      <w:pPr>
        <w:autoSpaceDE w:val="0"/>
        <w:autoSpaceDN w:val="0"/>
        <w:adjustRightInd w:val="0"/>
        <w:spacing w:before="120" w:after="120"/>
        <w:ind w:firstLine="720"/>
        <w:rPr>
          <w:spacing w:val="-4"/>
        </w:rPr>
      </w:pPr>
      <w:r w:rsidRPr="00556AEE">
        <w:rPr>
          <w:b/>
          <w:spacing w:val="-4"/>
        </w:rPr>
        <w:t xml:space="preserve">Điều </w:t>
      </w:r>
      <w:r w:rsidR="001B3B80" w:rsidRPr="00556AEE">
        <w:rPr>
          <w:b/>
          <w:spacing w:val="-4"/>
        </w:rPr>
        <w:t>3</w:t>
      </w:r>
      <w:r w:rsidRPr="00556AEE">
        <w:rPr>
          <w:b/>
          <w:spacing w:val="-4"/>
        </w:rPr>
        <w:t>.</w:t>
      </w:r>
      <w:r w:rsidRPr="00556AEE">
        <w:rPr>
          <w:spacing w:val="-4"/>
        </w:rPr>
        <w:t xml:space="preserve"> Thủ trưởng </w:t>
      </w:r>
      <w:r w:rsidR="001B3B80" w:rsidRPr="00556AEE">
        <w:rPr>
          <w:spacing w:val="-4"/>
        </w:rPr>
        <w:t xml:space="preserve">các đơn vị: </w:t>
      </w:r>
      <w:r w:rsidR="0063100B" w:rsidRPr="00556AEE">
        <w:rPr>
          <w:spacing w:val="-4"/>
        </w:rPr>
        <w:t xml:space="preserve">Vụ </w:t>
      </w:r>
      <w:r w:rsidR="00EA3CFD" w:rsidRPr="00556AEE">
        <w:rPr>
          <w:spacing w:val="-4"/>
        </w:rPr>
        <w:t xml:space="preserve">Kiểm sát việc giải quyết các vụ, việc dân sự, hôn nhân và gia đình; </w:t>
      </w:r>
      <w:r w:rsidR="0063100B" w:rsidRPr="00556AEE">
        <w:rPr>
          <w:spacing w:val="-4"/>
        </w:rPr>
        <w:t xml:space="preserve">Vụ </w:t>
      </w:r>
      <w:r w:rsidR="00EA3CFD" w:rsidRPr="00556AEE">
        <w:rPr>
          <w:spacing w:val="-4"/>
        </w:rPr>
        <w:t>Kiểm sát giải quyết các vụ án hành chính</w:t>
      </w:r>
      <w:r w:rsidR="00F237D5" w:rsidRPr="00556AEE">
        <w:rPr>
          <w:spacing w:val="-4"/>
        </w:rPr>
        <w:t>, vụ việc kinh doanh, thương mại, lao động và những việc khác theo quy định của pháp luật;</w:t>
      </w:r>
      <w:r w:rsidR="0063100B" w:rsidRPr="00556AEE">
        <w:rPr>
          <w:spacing w:val="-4"/>
        </w:rPr>
        <w:t xml:space="preserve"> Vụ </w:t>
      </w:r>
      <w:r w:rsidR="00F237D5" w:rsidRPr="00556AEE">
        <w:rPr>
          <w:spacing w:val="-4"/>
        </w:rPr>
        <w:t>Kiểm sát thi hành án dân sự;</w:t>
      </w:r>
      <w:r w:rsidR="006B0346" w:rsidRPr="00556AEE">
        <w:rPr>
          <w:spacing w:val="-4"/>
        </w:rPr>
        <w:t xml:space="preserve"> Vụ </w:t>
      </w:r>
      <w:r w:rsidR="00F237D5" w:rsidRPr="00556AEE">
        <w:rPr>
          <w:spacing w:val="-4"/>
        </w:rPr>
        <w:t>Kiểm sát và giải quyết đơn khiếu nại, tố cáo trong hoạt động tư pháp</w:t>
      </w:r>
      <w:r w:rsidRPr="00556AEE">
        <w:rPr>
          <w:spacing w:val="-4"/>
        </w:rPr>
        <w:t xml:space="preserve"> Viện kiểm sát nhân dân tối cao;</w:t>
      </w:r>
      <w:r w:rsidR="004E18A3" w:rsidRPr="00556AEE">
        <w:rPr>
          <w:spacing w:val="-4"/>
        </w:rPr>
        <w:t xml:space="preserve"> </w:t>
      </w:r>
      <w:r w:rsidR="001505F7" w:rsidRPr="00556AEE">
        <w:rPr>
          <w:spacing w:val="-4"/>
        </w:rPr>
        <w:t xml:space="preserve">Viện trưởng </w:t>
      </w:r>
      <w:r w:rsidR="001B3B80" w:rsidRPr="00556AEE">
        <w:rPr>
          <w:spacing w:val="-4"/>
        </w:rPr>
        <w:t>Viện kiểm sát nhân dân</w:t>
      </w:r>
      <w:r w:rsidR="0063100B" w:rsidRPr="00556AEE">
        <w:rPr>
          <w:spacing w:val="-4"/>
        </w:rPr>
        <w:t xml:space="preserve"> cấp cao;</w:t>
      </w:r>
      <w:r w:rsidRPr="00556AEE">
        <w:rPr>
          <w:spacing w:val="-4"/>
        </w:rPr>
        <w:t xml:space="preserve"> Viện trưởng Viện kiểm sát nhân dân tỉnh</w:t>
      </w:r>
      <w:r w:rsidR="0063100B" w:rsidRPr="00556AEE">
        <w:rPr>
          <w:spacing w:val="-4"/>
        </w:rPr>
        <w:t xml:space="preserve">, thành phố trực thuộc </w:t>
      </w:r>
      <w:r w:rsidR="00DC3207" w:rsidRPr="00556AEE">
        <w:rPr>
          <w:spacing w:val="-4"/>
        </w:rPr>
        <w:t>trung ương</w:t>
      </w:r>
      <w:r w:rsidR="00382C95" w:rsidRPr="00556AEE">
        <w:rPr>
          <w:spacing w:val="-4"/>
        </w:rPr>
        <w:t xml:space="preserve">; Viện trưởng Viện kiểm sát quân sự các cấp; </w:t>
      </w:r>
      <w:r w:rsidR="001505F7" w:rsidRPr="00556AEE">
        <w:rPr>
          <w:spacing w:val="-4"/>
        </w:rPr>
        <w:t xml:space="preserve">Viện trưởng </w:t>
      </w:r>
      <w:r w:rsidR="001B3B80" w:rsidRPr="00556AEE">
        <w:rPr>
          <w:spacing w:val="-4"/>
        </w:rPr>
        <w:t>Viện kiểm sát nhân dân</w:t>
      </w:r>
      <w:r w:rsidR="00EB5F11" w:rsidRPr="00556AEE">
        <w:rPr>
          <w:spacing w:val="-4"/>
        </w:rPr>
        <w:t xml:space="preserve"> cấp</w:t>
      </w:r>
      <w:r w:rsidRPr="00556AEE">
        <w:rPr>
          <w:spacing w:val="-4"/>
        </w:rPr>
        <w:t xml:space="preserve"> huyện chịu trách nhiệm thi hành </w:t>
      </w:r>
      <w:r w:rsidR="007F6197" w:rsidRPr="00556AEE">
        <w:rPr>
          <w:spacing w:val="-4"/>
        </w:rPr>
        <w:t>Q</w:t>
      </w:r>
      <w:r w:rsidRPr="00556AEE">
        <w:rPr>
          <w:spacing w:val="-4"/>
        </w:rPr>
        <w:t>uyết định này.</w:t>
      </w:r>
      <w:r w:rsidR="001B3B80" w:rsidRPr="00556AEE">
        <w:rPr>
          <w:spacing w:val="-4"/>
        </w:rPr>
        <w:t>/.</w:t>
      </w:r>
    </w:p>
    <w:p w:rsidR="00EA3CFD" w:rsidRDefault="00EA3CFD" w:rsidP="00BC6B97">
      <w:pPr>
        <w:autoSpaceDE w:val="0"/>
        <w:autoSpaceDN w:val="0"/>
        <w:adjustRightInd w:val="0"/>
        <w:spacing w:before="120" w:after="120"/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EA3CFD" w:rsidTr="00EA3CFD">
        <w:tc>
          <w:tcPr>
            <w:tcW w:w="4697" w:type="dxa"/>
          </w:tcPr>
          <w:p w:rsidR="00EA3CFD" w:rsidRDefault="00EA3CFD" w:rsidP="00EA3CFD">
            <w:pPr>
              <w:autoSpaceDE w:val="0"/>
              <w:autoSpaceDN w:val="0"/>
              <w:adjustRightInd w:val="0"/>
            </w:pPr>
            <w:r w:rsidRPr="001B3B80">
              <w:rPr>
                <w:b/>
                <w:bCs/>
                <w:i/>
                <w:iCs/>
                <w:sz w:val="24"/>
                <w:szCs w:val="26"/>
              </w:rPr>
              <w:t>Nơi nhận:</w:t>
            </w:r>
          </w:p>
        </w:tc>
        <w:tc>
          <w:tcPr>
            <w:tcW w:w="4697" w:type="dxa"/>
          </w:tcPr>
          <w:p w:rsidR="00EA3CFD" w:rsidRDefault="00EA3CFD" w:rsidP="00EA3CFD">
            <w:pPr>
              <w:autoSpaceDE w:val="0"/>
              <w:autoSpaceDN w:val="0"/>
              <w:adjustRightInd w:val="0"/>
              <w:jc w:val="center"/>
            </w:pPr>
            <w:r w:rsidRPr="001E3C50">
              <w:rPr>
                <w:b/>
                <w:bCs/>
                <w:sz w:val="26"/>
              </w:rPr>
              <w:t>VIỆN TRƯỞNG</w:t>
            </w:r>
          </w:p>
        </w:tc>
      </w:tr>
      <w:tr w:rsidR="00EA3CFD" w:rsidTr="00EA3CFD">
        <w:tc>
          <w:tcPr>
            <w:tcW w:w="4697" w:type="dxa"/>
          </w:tcPr>
          <w:p w:rsidR="00EA3CFD" w:rsidRPr="00EA3CFD" w:rsidRDefault="00EA3CFD" w:rsidP="00104D7B">
            <w:pPr>
              <w:tabs>
                <w:tab w:val="left" w:pos="55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="00DC3207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iều </w:t>
            </w:r>
            <w:r w:rsidR="00F956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(để t/h);</w:t>
            </w:r>
          </w:p>
        </w:tc>
        <w:tc>
          <w:tcPr>
            <w:tcW w:w="4697" w:type="dxa"/>
          </w:tcPr>
          <w:p w:rsidR="00EA3CFD" w:rsidRPr="00E8207F" w:rsidRDefault="00EA3CFD" w:rsidP="00EA3C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3CFD" w:rsidTr="00EA3CFD">
        <w:tc>
          <w:tcPr>
            <w:tcW w:w="4697" w:type="dxa"/>
          </w:tcPr>
          <w:p w:rsidR="00EA3CFD" w:rsidRDefault="00EA3CFD" w:rsidP="00104D7B">
            <w:pPr>
              <w:tabs>
                <w:tab w:val="left" w:pos="55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Lãnh đạo VKSND tối cao;</w:t>
            </w:r>
          </w:p>
        </w:tc>
        <w:tc>
          <w:tcPr>
            <w:tcW w:w="4697" w:type="dxa"/>
          </w:tcPr>
          <w:p w:rsidR="00EA3CFD" w:rsidRPr="00E8207F" w:rsidRDefault="00EA3CFD" w:rsidP="00EA3C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3CFD" w:rsidTr="00EA3CFD">
        <w:tc>
          <w:tcPr>
            <w:tcW w:w="4697" w:type="dxa"/>
          </w:tcPr>
          <w:p w:rsidR="00EA3CFD" w:rsidRDefault="00EA3CFD" w:rsidP="00104D7B">
            <w:pPr>
              <w:tabs>
                <w:tab w:val="left" w:pos="55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TMTH.</w:t>
            </w:r>
          </w:p>
        </w:tc>
        <w:tc>
          <w:tcPr>
            <w:tcW w:w="4697" w:type="dxa"/>
          </w:tcPr>
          <w:p w:rsidR="00EA3CFD" w:rsidRPr="00197A69" w:rsidRDefault="00197A69" w:rsidP="00EA3C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A69">
              <w:rPr>
                <w:bCs/>
              </w:rPr>
              <w:t>Đã ký</w:t>
            </w:r>
          </w:p>
        </w:tc>
      </w:tr>
      <w:tr w:rsidR="00EA3CFD" w:rsidTr="00EA3CFD">
        <w:tc>
          <w:tcPr>
            <w:tcW w:w="4697" w:type="dxa"/>
          </w:tcPr>
          <w:p w:rsidR="00EA3CFD" w:rsidRDefault="00EA3CFD" w:rsidP="00EA3CFD">
            <w:pPr>
              <w:tabs>
                <w:tab w:val="left" w:pos="55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97" w:type="dxa"/>
          </w:tcPr>
          <w:p w:rsidR="00EA3CFD" w:rsidRPr="00E8207F" w:rsidRDefault="00EA3CFD" w:rsidP="00EA3C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3CFD" w:rsidTr="00EA3CFD">
        <w:tc>
          <w:tcPr>
            <w:tcW w:w="4697" w:type="dxa"/>
          </w:tcPr>
          <w:p w:rsidR="00EA3CFD" w:rsidRDefault="00EA3CFD" w:rsidP="00EA3CFD">
            <w:pPr>
              <w:tabs>
                <w:tab w:val="left" w:pos="55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97" w:type="dxa"/>
          </w:tcPr>
          <w:p w:rsidR="00EA3CFD" w:rsidRPr="00E8207F" w:rsidRDefault="00EA3CFD" w:rsidP="00EA3C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3CFD" w:rsidTr="00EA3CFD">
        <w:tc>
          <w:tcPr>
            <w:tcW w:w="4697" w:type="dxa"/>
          </w:tcPr>
          <w:p w:rsidR="00EA3CFD" w:rsidRDefault="00EA3CFD" w:rsidP="00EA3CFD">
            <w:pPr>
              <w:tabs>
                <w:tab w:val="left" w:pos="55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97" w:type="dxa"/>
          </w:tcPr>
          <w:p w:rsidR="00EA3CFD" w:rsidRPr="00E8207F" w:rsidRDefault="00EA3CFD" w:rsidP="00EA3C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3CFD" w:rsidTr="00EA3CFD">
        <w:tc>
          <w:tcPr>
            <w:tcW w:w="4697" w:type="dxa"/>
          </w:tcPr>
          <w:p w:rsidR="00EA3CFD" w:rsidRDefault="00EA3CFD" w:rsidP="00EA3CFD">
            <w:pPr>
              <w:tabs>
                <w:tab w:val="left" w:pos="55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97" w:type="dxa"/>
          </w:tcPr>
          <w:p w:rsidR="00EA3CFD" w:rsidRPr="00E8207F" w:rsidRDefault="00EA3CFD" w:rsidP="00EA3C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Lê Minh Trí</w:t>
            </w:r>
          </w:p>
        </w:tc>
      </w:tr>
    </w:tbl>
    <w:p w:rsidR="00EA3CFD" w:rsidRDefault="00EA3CFD" w:rsidP="00EA3CFD">
      <w:pPr>
        <w:autoSpaceDE w:val="0"/>
        <w:autoSpaceDN w:val="0"/>
        <w:adjustRightInd w:val="0"/>
        <w:spacing w:before="120" w:after="120"/>
      </w:pPr>
    </w:p>
    <w:p w:rsidR="00472257" w:rsidRPr="00472257" w:rsidRDefault="00472257" w:rsidP="001B3B80">
      <w:pPr>
        <w:autoSpaceDE w:val="0"/>
        <w:autoSpaceDN w:val="0"/>
        <w:adjustRightInd w:val="0"/>
        <w:spacing w:before="60" w:after="60"/>
        <w:ind w:firstLine="720"/>
        <w:rPr>
          <w:sz w:val="4"/>
        </w:rPr>
      </w:pPr>
    </w:p>
    <w:p w:rsidR="00472257" w:rsidRPr="00E8207F" w:rsidRDefault="00472257" w:rsidP="003C6C3C">
      <w:pPr>
        <w:autoSpaceDE w:val="0"/>
        <w:autoSpaceDN w:val="0"/>
        <w:adjustRightInd w:val="0"/>
      </w:pPr>
    </w:p>
    <w:p w:rsidR="00472257" w:rsidRPr="00E8207F" w:rsidRDefault="00472257" w:rsidP="00472257">
      <w:pPr>
        <w:autoSpaceDE w:val="0"/>
        <w:autoSpaceDN w:val="0"/>
        <w:adjustRightInd w:val="0"/>
        <w:spacing w:line="360" w:lineRule="auto"/>
        <w:ind w:left="720"/>
      </w:pPr>
    </w:p>
    <w:p w:rsidR="00332DA3" w:rsidRDefault="00332DA3"/>
    <w:sectPr w:rsidR="00332DA3" w:rsidSect="008C5D1E">
      <w:footerReference w:type="default" r:id="rId8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00" w:rsidRDefault="002F0000" w:rsidP="00E87901">
      <w:pPr>
        <w:spacing w:before="0"/>
      </w:pPr>
      <w:r>
        <w:separator/>
      </w:r>
    </w:p>
  </w:endnote>
  <w:endnote w:type="continuationSeparator" w:id="0">
    <w:p w:rsidR="002F0000" w:rsidRDefault="002F0000" w:rsidP="00E879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3C" w:rsidRDefault="003C6C3C">
    <w:pPr>
      <w:pStyle w:val="Footer"/>
      <w:jc w:val="center"/>
    </w:pPr>
  </w:p>
  <w:p w:rsidR="00E87901" w:rsidRDefault="00E87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00" w:rsidRDefault="002F0000" w:rsidP="00E87901">
      <w:pPr>
        <w:spacing w:before="0"/>
      </w:pPr>
      <w:r>
        <w:separator/>
      </w:r>
    </w:p>
  </w:footnote>
  <w:footnote w:type="continuationSeparator" w:id="0">
    <w:p w:rsidR="002F0000" w:rsidRDefault="002F0000" w:rsidP="00E879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57"/>
    <w:rsid w:val="00016616"/>
    <w:rsid w:val="00053FE0"/>
    <w:rsid w:val="000851B5"/>
    <w:rsid w:val="00093747"/>
    <w:rsid w:val="00097C44"/>
    <w:rsid w:val="000F3868"/>
    <w:rsid w:val="00104D7B"/>
    <w:rsid w:val="001275E3"/>
    <w:rsid w:val="0014569D"/>
    <w:rsid w:val="001505F7"/>
    <w:rsid w:val="00164200"/>
    <w:rsid w:val="0016714D"/>
    <w:rsid w:val="00197A69"/>
    <w:rsid w:val="001A319A"/>
    <w:rsid w:val="001B37C7"/>
    <w:rsid w:val="001B3B80"/>
    <w:rsid w:val="001B7D8D"/>
    <w:rsid w:val="001E3C50"/>
    <w:rsid w:val="00214AB9"/>
    <w:rsid w:val="00245813"/>
    <w:rsid w:val="00265BB9"/>
    <w:rsid w:val="00271C58"/>
    <w:rsid w:val="00282BD5"/>
    <w:rsid w:val="00286A17"/>
    <w:rsid w:val="00286FDD"/>
    <w:rsid w:val="002872AB"/>
    <w:rsid w:val="002A1DB0"/>
    <w:rsid w:val="002B06AE"/>
    <w:rsid w:val="002F0000"/>
    <w:rsid w:val="00313368"/>
    <w:rsid w:val="00332DA3"/>
    <w:rsid w:val="00382C95"/>
    <w:rsid w:val="0038516C"/>
    <w:rsid w:val="0039113C"/>
    <w:rsid w:val="003C0CAA"/>
    <w:rsid w:val="003C6C3C"/>
    <w:rsid w:val="0040422E"/>
    <w:rsid w:val="0044228F"/>
    <w:rsid w:val="00472257"/>
    <w:rsid w:val="00482067"/>
    <w:rsid w:val="004B2ABF"/>
    <w:rsid w:val="004E18A3"/>
    <w:rsid w:val="00502374"/>
    <w:rsid w:val="00514B11"/>
    <w:rsid w:val="005371C6"/>
    <w:rsid w:val="00556AEE"/>
    <w:rsid w:val="005773C5"/>
    <w:rsid w:val="0060426D"/>
    <w:rsid w:val="00610ED5"/>
    <w:rsid w:val="00611496"/>
    <w:rsid w:val="00626FC6"/>
    <w:rsid w:val="0063100B"/>
    <w:rsid w:val="006A68AB"/>
    <w:rsid w:val="006B0346"/>
    <w:rsid w:val="0071584F"/>
    <w:rsid w:val="00721C29"/>
    <w:rsid w:val="00775130"/>
    <w:rsid w:val="007B62CB"/>
    <w:rsid w:val="007F2701"/>
    <w:rsid w:val="007F6197"/>
    <w:rsid w:val="00810945"/>
    <w:rsid w:val="00821601"/>
    <w:rsid w:val="00834927"/>
    <w:rsid w:val="00855011"/>
    <w:rsid w:val="00870E4C"/>
    <w:rsid w:val="008C5370"/>
    <w:rsid w:val="008C5D1E"/>
    <w:rsid w:val="008D6271"/>
    <w:rsid w:val="008F069A"/>
    <w:rsid w:val="00937608"/>
    <w:rsid w:val="009425E0"/>
    <w:rsid w:val="009819F9"/>
    <w:rsid w:val="009B5285"/>
    <w:rsid w:val="009C4145"/>
    <w:rsid w:val="009D7285"/>
    <w:rsid w:val="00A467BB"/>
    <w:rsid w:val="00A56AEB"/>
    <w:rsid w:val="00A95386"/>
    <w:rsid w:val="00AB7AE6"/>
    <w:rsid w:val="00B01C08"/>
    <w:rsid w:val="00B409AA"/>
    <w:rsid w:val="00B9710B"/>
    <w:rsid w:val="00BC6B97"/>
    <w:rsid w:val="00BD157F"/>
    <w:rsid w:val="00BE59AD"/>
    <w:rsid w:val="00C442C2"/>
    <w:rsid w:val="00C51D6F"/>
    <w:rsid w:val="00C66E51"/>
    <w:rsid w:val="00CA3FE3"/>
    <w:rsid w:val="00CB0506"/>
    <w:rsid w:val="00CD22C7"/>
    <w:rsid w:val="00CF1964"/>
    <w:rsid w:val="00D23FB5"/>
    <w:rsid w:val="00D637B9"/>
    <w:rsid w:val="00D875EA"/>
    <w:rsid w:val="00DA1FBA"/>
    <w:rsid w:val="00DC3207"/>
    <w:rsid w:val="00DD2690"/>
    <w:rsid w:val="00E05595"/>
    <w:rsid w:val="00E12A8D"/>
    <w:rsid w:val="00E3276D"/>
    <w:rsid w:val="00E677A0"/>
    <w:rsid w:val="00E87901"/>
    <w:rsid w:val="00EA3CFD"/>
    <w:rsid w:val="00EB5F11"/>
    <w:rsid w:val="00EC46BC"/>
    <w:rsid w:val="00EE3B36"/>
    <w:rsid w:val="00EF0B91"/>
    <w:rsid w:val="00F0578A"/>
    <w:rsid w:val="00F237D5"/>
    <w:rsid w:val="00F40443"/>
    <w:rsid w:val="00F91FB2"/>
    <w:rsid w:val="00F927F8"/>
    <w:rsid w:val="00F95630"/>
    <w:rsid w:val="00FD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57"/>
    <w:pPr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57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834927"/>
    <w:pPr>
      <w:spacing w:before="0" w:after="120"/>
      <w:jc w:val="left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4927"/>
    <w:rPr>
      <w:rFonts w:ascii=".VnTime" w:eastAsia="Times New Roman" w:hAnsi=".VnTime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90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790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790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87901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EA3CF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57"/>
    <w:pPr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57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834927"/>
    <w:pPr>
      <w:spacing w:before="0" w:after="120"/>
      <w:jc w:val="left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4927"/>
    <w:rPr>
      <w:rFonts w:ascii=".VnTime" w:eastAsia="Times New Roman" w:hAnsi=".VnTime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90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790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790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87901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EA3CF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05FC-621F-490C-9329-6770D73F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andongnhi</cp:lastModifiedBy>
  <cp:revision>2</cp:revision>
  <cp:lastPrinted>2017-05-19T07:13:00Z</cp:lastPrinted>
  <dcterms:created xsi:type="dcterms:W3CDTF">2017-06-21T06:55:00Z</dcterms:created>
  <dcterms:modified xsi:type="dcterms:W3CDTF">2017-06-21T06:55:00Z</dcterms:modified>
</cp:coreProperties>
</file>